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387B43" w:rsidTr="00351881">
        <w:trPr>
          <w:trHeight w:val="1695"/>
        </w:trPr>
        <w:tc>
          <w:tcPr>
            <w:tcW w:w="2331" w:type="pct"/>
          </w:tcPr>
          <w:p w:rsidR="00EE23CC" w:rsidRPr="00387B43" w:rsidRDefault="00EE23CC" w:rsidP="00351881">
            <w:r w:rsidRPr="00387B43">
              <w:rPr>
                <w:noProof/>
                <w:lang w:val="en-GB" w:eastAsia="en-GB"/>
              </w:rPr>
              <w:drawing>
                <wp:inline distT="0" distB="0" distL="0" distR="0" wp14:anchorId="65ABA33E" wp14:editId="04A25D17">
                  <wp:extent cx="2524262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2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387B43" w:rsidRDefault="00EE23CC" w:rsidP="00351881"/>
        </w:tc>
      </w:tr>
    </w:tbl>
    <w:tbl>
      <w:tblPr>
        <w:tblStyle w:val="Reetkatablice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387B43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387B43" w:rsidRDefault="001F70B4" w:rsidP="001F70B4">
            <w:r w:rsidRPr="00387B43">
              <w:rPr>
                <w:noProof/>
                <w:lang w:val="en-GB" w:eastAsia="en-GB"/>
              </w:rPr>
              <w:drawing>
                <wp:inline distT="0" distB="0" distL="0" distR="0" wp14:anchorId="2D5C716C" wp14:editId="4E78127A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E92" w:rsidRPr="00315AEC" w:rsidRDefault="00777E92" w:rsidP="00777E92">
      <w:pPr>
        <w:pStyle w:val="newsTitle"/>
        <w:spacing w:before="160"/>
        <w:rPr>
          <w:rFonts w:cs="Arial"/>
          <w:b/>
          <w:sz w:val="22"/>
        </w:rPr>
      </w:pPr>
      <w:r>
        <w:rPr>
          <w:sz w:val="22"/>
        </w:rPr>
        <w:t>zdravstveni i društveni odgovori na probleme s drogom</w:t>
      </w:r>
    </w:p>
    <w:p w:rsidR="00777E92" w:rsidRPr="00315AEC" w:rsidRDefault="00777E92" w:rsidP="00777E92">
      <w:pPr>
        <w:pStyle w:val="newsSubTitle"/>
        <w:rPr>
          <w:rFonts w:cs="Arial"/>
          <w:sz w:val="24"/>
          <w:szCs w:val="24"/>
        </w:rPr>
      </w:pPr>
      <w:r>
        <w:rPr>
          <w:sz w:val="24"/>
        </w:rPr>
        <w:t xml:space="preserve">EMCDDA objavljuje prvi europski vodič za odgovore na probleme s drogom  </w:t>
      </w:r>
    </w:p>
    <w:p w:rsidR="00777E92" w:rsidRDefault="00777E92" w:rsidP="00777E92">
      <w:pPr>
        <w:pStyle w:val="newsContent"/>
        <w:tabs>
          <w:tab w:val="left" w:pos="9354"/>
        </w:tabs>
        <w:ind w:right="-2"/>
        <w:rPr>
          <w:rFonts w:cs="Arial"/>
          <w:szCs w:val="20"/>
        </w:rPr>
      </w:pPr>
      <w:r>
        <w:t>(24.10.2017, LISABON</w:t>
      </w:r>
      <w:bookmarkStart w:id="0" w:name="_GoBack"/>
      <w:bookmarkEnd w:id="0"/>
      <w:r>
        <w:t xml:space="preserve">) </w:t>
      </w:r>
      <w:r w:rsidR="00BC5CE8">
        <w:br/>
      </w:r>
      <w:r>
        <w:rPr>
          <w:color w:val="auto"/>
        </w:rPr>
        <w:t xml:space="preserve">Kako odgovoriti na probleme dugogodišnjih korisnika heroina? Kako reagirati na smrtne slučajeve prouzročene vrlo jakim fentanilima? Kako spriječiti štetu prouzročenu zlouporabom droge i alkohola na festivalima i u klubovima? Ta i mnoga druga pitanja istražuju se u novom europskom vodiču koji je danas objavio </w:t>
      </w:r>
      <w:r>
        <w:rPr>
          <w:b/>
          <w:color w:val="auto"/>
        </w:rPr>
        <w:t>Europski centar za praćenje droga i ovisnosti o drogama (EMCDDA)</w:t>
      </w:r>
      <w:r w:rsidRPr="00777E92">
        <w:rPr>
          <w:rFonts w:cs="Arial"/>
          <w:szCs w:val="20"/>
        </w:rPr>
        <w:t xml:space="preserve"> (</w:t>
      </w:r>
      <w:r w:rsidRPr="00777E92">
        <w:rPr>
          <w:rStyle w:val="newsNotesNumberChar"/>
          <w:rFonts w:cs="Arial"/>
          <w:sz w:val="20"/>
          <w:szCs w:val="20"/>
        </w:rPr>
        <w:t>1</w:t>
      </w:r>
      <w:r w:rsidRPr="00777E92">
        <w:rPr>
          <w:rFonts w:cs="Arial"/>
          <w:szCs w:val="20"/>
        </w:rPr>
        <w:t>)</w:t>
      </w:r>
      <w:r>
        <w:rPr>
          <w:color w:val="auto"/>
        </w:rPr>
        <w:t xml:space="preserve">. </w:t>
      </w:r>
      <w:r w:rsidR="00EB2645" w:rsidRPr="00EB2645">
        <w:rPr>
          <w:rFonts w:cs="Arial"/>
          <w:b/>
          <w:i/>
          <w:color w:val="auto"/>
          <w:szCs w:val="20"/>
          <w:lang w:val="en-GB"/>
        </w:rPr>
        <w:t>Health and social responses to drug problems: a European guide</w:t>
      </w:r>
      <w:r w:rsidR="00EB2645">
        <w:rPr>
          <w:rFonts w:cs="Arial"/>
          <w:b/>
          <w:i/>
          <w:color w:val="auto"/>
          <w:szCs w:val="20"/>
        </w:rPr>
        <w:t xml:space="preserve"> </w:t>
      </w:r>
      <w:r w:rsidR="00EB2645" w:rsidRPr="00EB2645">
        <w:rPr>
          <w:rFonts w:cs="Arial"/>
          <w:color w:val="auto"/>
          <w:szCs w:val="20"/>
        </w:rPr>
        <w:t>(</w:t>
      </w:r>
      <w:r w:rsidRPr="00EB2645">
        <w:rPr>
          <w:color w:val="auto"/>
        </w:rPr>
        <w:t xml:space="preserve">Zdravstveni i društveni odgovori </w:t>
      </w:r>
      <w:proofErr w:type="gramStart"/>
      <w:r w:rsidRPr="00EB2645">
        <w:rPr>
          <w:color w:val="auto"/>
        </w:rPr>
        <w:t>na</w:t>
      </w:r>
      <w:proofErr w:type="gramEnd"/>
      <w:r w:rsidRPr="00EB2645">
        <w:rPr>
          <w:color w:val="auto"/>
        </w:rPr>
        <w:t xml:space="preserve"> probleme s drogama: europski vodič</w:t>
      </w:r>
      <w:r w:rsidR="00EB2645" w:rsidRPr="00EB2645">
        <w:rPr>
          <w:color w:val="auto"/>
        </w:rPr>
        <w:t>)</w:t>
      </w:r>
      <w:r w:rsidRPr="00EB2645">
        <w:rPr>
          <w:color w:val="auto"/>
        </w:rPr>
        <w:t xml:space="preserve"> </w:t>
      </w:r>
      <w:r>
        <w:rPr>
          <w:color w:val="auto"/>
        </w:rPr>
        <w:t xml:space="preserve">temelji se na podacima iz više od 30 zemalja i po prvi put predstavlja pregled trenutačno dostupnih aktivnosti i mjera za rješavanje posljedica nezakonite uporabe droga. Vodič je osmišljen za one koji se bave problemima s drogom </w:t>
      </w:r>
      <w:r>
        <w:rPr>
          <w:color w:val="211D1E"/>
        </w:rPr>
        <w:t>iz perspektive službi zaduženih za planiranje javnog zdravstva do djelatnika i stručnjaka koji djeluju na prvoj crti odgovora u tom području.</w:t>
      </w:r>
    </w:p>
    <w:p w:rsidR="00777E92" w:rsidRPr="000C4B54" w:rsidRDefault="00777E92" w:rsidP="00777E92">
      <w:pPr>
        <w:pStyle w:val="newsContent"/>
        <w:tabs>
          <w:tab w:val="left" w:pos="9354"/>
        </w:tabs>
        <w:ind w:right="-2"/>
        <w:rPr>
          <w:rFonts w:cs="Arial"/>
          <w:color w:val="auto"/>
          <w:szCs w:val="20"/>
        </w:rPr>
      </w:pPr>
      <w:r>
        <w:t xml:space="preserve">Današnja zlouporaba droga složen je problem koji se stalno mijenja. Postoji cijeli niz različitih programa za rješavanje različitih potreba i ciljeva. Novi vodič pruža praktične smjernice o boljem osmišljavanju, ciljanju i provedbi odgovora u području droge, </w:t>
      </w:r>
      <w:r>
        <w:rPr>
          <w:color w:val="auto"/>
        </w:rPr>
        <w:t xml:space="preserve">pri čemu se stvaraju temelji za razvoj i uspješnu provedbu mjera. </w:t>
      </w:r>
    </w:p>
    <w:p w:rsidR="00777E92" w:rsidRDefault="00777E92" w:rsidP="00777E92">
      <w:pPr>
        <w:pStyle w:val="newsContent"/>
        <w:tabs>
          <w:tab w:val="left" w:pos="9354"/>
        </w:tabs>
        <w:ind w:right="-2"/>
        <w:rPr>
          <w:rFonts w:cs="Arial"/>
          <w:szCs w:val="20"/>
        </w:rPr>
      </w:pPr>
      <w:r>
        <w:rPr>
          <w:b/>
        </w:rPr>
        <w:t>Direktor EMCDDA-e Alexis Goosdeel</w:t>
      </w:r>
      <w:r>
        <w:t xml:space="preserve"> kaže: „Cilj EMCDDA-e jest pomoći donositeljima politika i stručnjacima pri planiranju i donošenju politika i programa koji doprinose zdravijoj i sigurnijoj Europi. </w:t>
      </w:r>
      <w:r w:rsidR="009D0966">
        <w:br/>
      </w:r>
      <w:r>
        <w:t>Ovaj inovativni novi vodič ispituje neke od glavnih današnjih izazova javnog zdravstva u području droge te pruža kartu u kojoj se navode različite faze osmišljavanja, ciljanja i provedbe djelotvornih mjera. Kako bi osobe koje se bave odgovorima na probleme s drogom ostale u tijeku, trebaju se pripremiti na prilagođavanje, uvođenje inovacija i razvijanje novih partnerstva. Ovaj praktični vodič pružit će im alate za odgovor na današnje probleme s drogom, ali i za pripremu za probleme u budućnosti.“</w:t>
      </w:r>
    </w:p>
    <w:p w:rsidR="00777E92" w:rsidRPr="000C4B54" w:rsidRDefault="00777E92" w:rsidP="00777E92">
      <w:pPr>
        <w:pStyle w:val="newsContent"/>
        <w:spacing w:after="0"/>
        <w:rPr>
          <w:rFonts w:cs="Arial"/>
          <w:color w:val="auto"/>
          <w:szCs w:val="20"/>
        </w:rPr>
      </w:pPr>
      <w:r>
        <w:rPr>
          <w:color w:val="auto"/>
        </w:rPr>
        <w:t xml:space="preserve">U ovom vodiču zdravstvenih i društvenih odgovora na probleme s drogom promatraju se iz triju različitih perspektiva u pogledu odgovora na: </w:t>
      </w:r>
    </w:p>
    <w:p w:rsidR="00777E92" w:rsidRPr="000C4B54" w:rsidRDefault="00777E92" w:rsidP="00777E92">
      <w:pPr>
        <w:pStyle w:val="newsContent"/>
        <w:numPr>
          <w:ilvl w:val="0"/>
          <w:numId w:val="1"/>
        </w:numPr>
        <w:spacing w:after="0"/>
        <w:ind w:left="714" w:hanging="357"/>
        <w:rPr>
          <w:rFonts w:cs="Arial"/>
          <w:color w:val="auto"/>
          <w:szCs w:val="20"/>
        </w:rPr>
      </w:pPr>
      <w:r>
        <w:rPr>
          <w:color w:val="auto"/>
        </w:rPr>
        <w:t>probleme povezane s različitim</w:t>
      </w:r>
      <w:r>
        <w:rPr>
          <w:b/>
          <w:color w:val="auto"/>
        </w:rPr>
        <w:t xml:space="preserve"> vrstama droge i uzorcima uporabe</w:t>
      </w:r>
      <w:r>
        <w:rPr>
          <w:color w:val="auto"/>
        </w:rPr>
        <w:t xml:space="preserve">; </w:t>
      </w:r>
    </w:p>
    <w:p w:rsidR="00777E92" w:rsidRPr="000C4B54" w:rsidRDefault="00777E92" w:rsidP="00777E92">
      <w:pPr>
        <w:pStyle w:val="newsContent"/>
        <w:numPr>
          <w:ilvl w:val="0"/>
          <w:numId w:val="1"/>
        </w:numPr>
        <w:spacing w:after="0"/>
        <w:ind w:left="714" w:hanging="357"/>
        <w:rPr>
          <w:rFonts w:cs="Arial"/>
          <w:color w:val="auto"/>
          <w:szCs w:val="20"/>
        </w:rPr>
      </w:pPr>
      <w:r>
        <w:rPr>
          <w:color w:val="auto"/>
        </w:rPr>
        <w:t xml:space="preserve">potrebe različitih </w:t>
      </w:r>
      <w:r>
        <w:rPr>
          <w:b/>
          <w:color w:val="auto"/>
        </w:rPr>
        <w:t>skupina</w:t>
      </w:r>
      <w:r>
        <w:rPr>
          <w:color w:val="auto"/>
        </w:rPr>
        <w:t xml:space="preserve"> (npr. žena, mladih, tražitelja azila, starih korisnika droga); te </w:t>
      </w:r>
    </w:p>
    <w:p w:rsidR="00777E92" w:rsidRPr="000C4B54" w:rsidRDefault="00777E92" w:rsidP="00777E92">
      <w:pPr>
        <w:pStyle w:val="newsContent"/>
        <w:numPr>
          <w:ilvl w:val="0"/>
          <w:numId w:val="1"/>
        </w:numPr>
        <w:spacing w:after="0"/>
        <w:ind w:left="714" w:hanging="357"/>
        <w:rPr>
          <w:rFonts w:cs="Arial"/>
          <w:color w:val="auto"/>
          <w:szCs w:val="20"/>
        </w:rPr>
      </w:pPr>
      <w:r>
        <w:rPr>
          <w:color w:val="auto"/>
        </w:rPr>
        <w:t xml:space="preserve">probleme u različitim </w:t>
      </w:r>
      <w:r>
        <w:rPr>
          <w:b/>
          <w:color w:val="auto"/>
        </w:rPr>
        <w:t>okruženjima</w:t>
      </w:r>
      <w:r>
        <w:rPr>
          <w:color w:val="auto"/>
        </w:rPr>
        <w:t xml:space="preserve"> (npr. u zatvorima, u noćnim klubovima, na koncertima, u školama, na radnim mjestima, u lokalnim zajednicama); </w:t>
      </w:r>
    </w:p>
    <w:p w:rsidR="00777E92" w:rsidRPr="000C4B54" w:rsidRDefault="00777E92" w:rsidP="00777E92">
      <w:pPr>
        <w:pStyle w:val="newsContent"/>
        <w:spacing w:after="0"/>
        <w:ind w:left="714"/>
        <w:rPr>
          <w:rFonts w:cs="Arial"/>
          <w:color w:val="auto"/>
          <w:szCs w:val="20"/>
        </w:rPr>
      </w:pPr>
    </w:p>
    <w:p w:rsidR="00777E92" w:rsidRDefault="00777E92" w:rsidP="00777E92">
      <w:pPr>
        <w:pStyle w:val="newsContent"/>
        <w:rPr>
          <w:color w:val="211D1E"/>
        </w:rPr>
      </w:pPr>
      <w:r>
        <w:rPr>
          <w:color w:val="211D1E"/>
        </w:rPr>
        <w:t xml:space="preserve">Zamišljen kao početna referentna točka, ova publikacija obuhvaća sažetke i lako razumljive oznake koje upućuju na ključne informacije, primjere najbolje prakse te implikacije u području politike i prakse. Uz to, u njemu se na jednom mjestu pružaju informacije o velikom broju internetskih izvora, uključujući poveznice na dokaze i alate. </w:t>
      </w:r>
    </w:p>
    <w:p w:rsidR="00777E92" w:rsidRDefault="00777E92" w:rsidP="00777E92">
      <w:pPr>
        <w:pStyle w:val="newsContent"/>
        <w:rPr>
          <w:rFonts w:cs="Arial"/>
          <w:b/>
          <w:szCs w:val="20"/>
        </w:rPr>
      </w:pPr>
      <w:r>
        <w:rPr>
          <w:b/>
        </w:rPr>
        <w:t xml:space="preserve">Odgovori temeljeni na dokazima koji su popularni u Europi </w:t>
      </w:r>
    </w:p>
    <w:p w:rsidR="00777E92" w:rsidRDefault="00777E92" w:rsidP="00777E92">
      <w:pPr>
        <w:spacing w:after="260" w:line="260" w:lineRule="exact"/>
      </w:pPr>
      <w:r>
        <w:rPr>
          <w:rFonts w:ascii="Arial" w:hAnsi="Arial"/>
          <w:sz w:val="20"/>
        </w:rPr>
        <w:t xml:space="preserve">„Odgovori temeljeni na dokazima sve su popularniji u Europi. Uzimajući u obzir trenutačno financijsko stanje i oskudan proračun za zdravstvo, dostupna sredstva pokušavaju se potrošiti na što bolji način“, </w:t>
      </w:r>
      <w:r>
        <w:rPr>
          <w:rFonts w:ascii="Arial" w:hAnsi="Arial"/>
          <w:sz w:val="20"/>
        </w:rPr>
        <w:lastRenderedPageBreak/>
        <w:t>navodi se u vodiču. Naglašava važnost postojećih dokaza koji potkrjepljuju određenu mjeru i kako ih upotrebljavati. Ovdje se navode „ocjene dokaza“ za različite istražene mjere (Spotlight, str. 23.), ali naglašava da ono što djeluje na jednu skupinu ne mora uspjeti u drugom kontekstu. Ključna poruka koju prenosi vodič jest da je korištenje dokaza „neprekidan proces“ te da je važno razviti bazu znanja suradnjom u istraživanju, praćenju i dijeljenju najbolje prakse. Vodič upućuje na portal najbolje prakse EMCDDA-e koji sadrži cijeli niz resursa, uključujući registar Xchange s programima temeljenima na dokazima i normama za povećanje kvalitete odgovora (Spotlight, str. 164.)</w:t>
      </w:r>
      <w:r w:rsidRPr="00777E92">
        <w:rPr>
          <w:rFonts w:ascii="Arial" w:hAnsi="Arial" w:cs="Arial"/>
          <w:sz w:val="20"/>
          <w:szCs w:val="20"/>
        </w:rPr>
        <w:t>(</w:t>
      </w:r>
      <w:r>
        <w:rPr>
          <w:rStyle w:val="newsNotesNumberChar"/>
          <w:rFonts w:cs="Arial"/>
          <w:sz w:val="20"/>
          <w:szCs w:val="20"/>
        </w:rPr>
        <w:t>2</w:t>
      </w:r>
      <w:r w:rsidRPr="00777E92">
        <w:rPr>
          <w:rFonts w:ascii="Arial" w:hAnsi="Arial" w:cs="Arial"/>
          <w:sz w:val="20"/>
          <w:szCs w:val="20"/>
        </w:rPr>
        <w:t>)</w:t>
      </w:r>
      <w:r>
        <w:rPr>
          <w:rFonts w:ascii="Arial" w:hAnsi="Arial"/>
          <w:sz w:val="20"/>
        </w:rPr>
        <w:t>.</w:t>
      </w:r>
      <w:r>
        <w:t xml:space="preserve"> </w:t>
      </w:r>
    </w:p>
    <w:p w:rsidR="00777E92" w:rsidRPr="001717B6" w:rsidRDefault="00777E92" w:rsidP="00777E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Prednosti traženja i stvaranja novih partnerstva </w:t>
      </w:r>
    </w:p>
    <w:p w:rsidR="00777E92" w:rsidRDefault="00777E92" w:rsidP="00777E92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Problemi s drogom često su povezani s drugim zdravstvenim i društvenim problemima. Vodič stoga naglašava važnost stvaranja partnerstva između službi koje se bave problematikom droga i službi iz drugih područja (npr. spolna i psihička skrb, stambene usluge) radi poboljšanja djelotvornosti i učinkovitosti (Spotlight, str. 31., str. 72.). Integrirane usluge od posebne su važnosti za neke skupine, na primjer dugogodišnjim korisnicima opioida koji su podložni zdravstvenim problemima ili ovisnicima o drogama koji imaju psihičkih problema. „Djelotvorna suradnja službi ključna je za ispunjavanje složenih zdravstvenih i društvenih potreba mnogih osoba koje imaju probleme s drogom“, navodi se u vodiču. </w:t>
      </w:r>
    </w:p>
    <w:p w:rsidR="00777E92" w:rsidRDefault="00777E92" w:rsidP="00777E92">
      <w:pPr>
        <w:spacing w:after="260" w:line="260" w:lineRule="exact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/>
          <w:sz w:val="20"/>
        </w:rPr>
        <w:t>U vodiču se navode primjeri niza suradničkih pristupa u Europi, uključujući partnerstva između zatvorskih i zdravstvenih službi u zajednici koja olakšavaju primjenu liječenja u zatvoru, kao i kontinuitet skrbi nakon puštanja iz zatvora. Nadalje, vlasnici klubova, policijske, zdravstvene i hitne službe te općine udružuju se sa službama koje se bave problematikom droga radi sprječavanja i smanjenja štete povezane sa zloporabom alkohola i droge u objektima za noćnu zabavu (poglavlje 4.2)</w:t>
      </w:r>
      <w:r w:rsidRPr="00777E92">
        <w:rPr>
          <w:rFonts w:ascii="Arial" w:hAnsi="Arial" w:cs="Arial"/>
          <w:sz w:val="20"/>
          <w:szCs w:val="20"/>
        </w:rPr>
        <w:t>(</w:t>
      </w:r>
      <w:r>
        <w:rPr>
          <w:rStyle w:val="newsNotesNumberChar"/>
          <w:rFonts w:cs="Arial"/>
          <w:sz w:val="20"/>
          <w:szCs w:val="20"/>
        </w:rPr>
        <w:t>3</w:t>
      </w:r>
      <w:r w:rsidRPr="00777E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211D1E"/>
          <w:sz w:val="20"/>
        </w:rPr>
        <w:t xml:space="preserve">Istražuje se i djelotvornost suradnje s lokalnim zajednicama i korisnicima droge u pogledu poboljšanja pružanja usluga. Primjeri uključuju suradnju u pogledu </w:t>
      </w:r>
      <w:r>
        <w:rPr>
          <w:rFonts w:ascii="Arial" w:hAnsi="Arial"/>
          <w:sz w:val="20"/>
        </w:rPr>
        <w:t xml:space="preserve">prostorija za konzumaciju droge koje bi mogle smanjiti štetu za zajednicu i korisnika droge </w:t>
      </w:r>
      <w:r>
        <w:rPr>
          <w:rFonts w:ascii="Arial" w:hAnsi="Arial"/>
          <w:color w:val="211D1E"/>
          <w:sz w:val="20"/>
        </w:rPr>
        <w:t xml:space="preserve">(Spotlight, str. 156.), i korisnički vođene mjere za oporavak i reintegraciju (Spotlight, </w:t>
      </w:r>
      <w:r>
        <w:rPr>
          <w:rFonts w:ascii="Arial" w:hAnsi="Arial"/>
          <w:color w:val="211D1E"/>
          <w:sz w:val="20"/>
        </w:rPr>
        <w:br/>
        <w:t xml:space="preserve">str. 167.). </w:t>
      </w:r>
    </w:p>
    <w:p w:rsidR="00777E92" w:rsidRDefault="00777E92" w:rsidP="00777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Iskorištavanje potencijala novih tehnologija </w:t>
      </w:r>
    </w:p>
    <w:p w:rsidR="00777E92" w:rsidRPr="000C4B54" w:rsidRDefault="00777E92" w:rsidP="00777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77E92" w:rsidRDefault="00777E92" w:rsidP="00777E92">
      <w:pPr>
        <w:spacing w:after="260" w:line="260" w:lineRule="exact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/>
          <w:color w:val="211D1E"/>
          <w:sz w:val="20"/>
        </w:rPr>
        <w:t xml:space="preserve">Internet, aplikacije za društveno umrežavanja, nove tehnologije plaćanja i softver za enkripciju mijenjaju način prodaje i kupnje droga. Te promjene ne utječu samo na tržište drogama i uzroke konzumacije, već i omogućuju nove prilike za zdravstvene i društvene reakcije. </w:t>
      </w:r>
      <w:r>
        <w:rPr>
          <w:rFonts w:ascii="Arial" w:hAnsi="Arial"/>
          <w:sz w:val="20"/>
        </w:rPr>
        <w:t xml:space="preserve">„Kako bi osobe koje se bave problemom droga ostale u tijeku, moraju… iskoristiti potencijal novih tehnologija radi bolje provedbe inicijativa na području prevencije, liječenja i </w:t>
      </w:r>
      <w:r>
        <w:rPr>
          <w:rFonts w:ascii="Arial" w:hAnsi="Arial"/>
          <w:color w:val="211D1E"/>
          <w:sz w:val="20"/>
        </w:rPr>
        <w:t xml:space="preserve">smanjenje štete“, navodi se u vodiču. </w:t>
      </w:r>
    </w:p>
    <w:p w:rsidR="00777E92" w:rsidRDefault="00777E92" w:rsidP="00777E92">
      <w:pPr>
        <w:spacing w:after="260" w:line="260" w:lineRule="exact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/>
          <w:color w:val="211D1E"/>
          <w:sz w:val="20"/>
        </w:rPr>
        <w:t xml:space="preserve">Poseban naglasak stavlja se na intervencije e-zdravstva, koje omogućuje uporabu digitalne tehnologije za pružanje savjeta o smanjenju štete, obučavanje stručnjaka za liječenje i komunikaciju s mladima koji ne žele surađivati s formalnim službama (Spotlight str. 119.). </w:t>
      </w:r>
    </w:p>
    <w:p w:rsidR="00777E92" w:rsidRPr="00C51171" w:rsidRDefault="00777E92" w:rsidP="00777E92">
      <w:pPr>
        <w:spacing w:after="260" w:line="260" w:lineRule="exact"/>
        <w:rPr>
          <w:rFonts w:ascii="Arial" w:hAnsi="Arial" w:cs="Arial"/>
          <w:b/>
          <w:color w:val="221E1F"/>
          <w:sz w:val="20"/>
          <w:szCs w:val="20"/>
        </w:rPr>
      </w:pPr>
      <w:r>
        <w:rPr>
          <w:rFonts w:ascii="Arial" w:hAnsi="Arial"/>
          <w:b/>
          <w:color w:val="221E1F"/>
          <w:sz w:val="20"/>
        </w:rPr>
        <w:t xml:space="preserve">Smanjenje štete povezane s drogom: prilike i nedostatci </w:t>
      </w:r>
    </w:p>
    <w:p w:rsidR="00777E92" w:rsidRDefault="00777E92" w:rsidP="00777E92">
      <w:pPr>
        <w:pStyle w:val="Pa21"/>
        <w:spacing w:before="40" w:after="260" w:line="260" w:lineRule="exact"/>
        <w:rPr>
          <w:rFonts w:ascii="Arial" w:hAnsi="Arial"/>
          <w:color w:val="211D1E"/>
          <w:sz w:val="20"/>
        </w:rPr>
      </w:pPr>
      <w:r>
        <w:rPr>
          <w:rFonts w:ascii="Arial" w:hAnsi="Arial"/>
          <w:sz w:val="20"/>
        </w:rPr>
        <w:t xml:space="preserve">U vodiču je naveden pregled dosadašnjeg napretka u sprječavanju i smanjenju štete povezane s drogom (na primjer, širenje supstitucijske terapije opioidima), ali naglašava područja u kojima postoje prilike za dodatno poboljšanje. </w:t>
      </w:r>
      <w:r>
        <w:rPr>
          <w:rFonts w:ascii="Arial" w:hAnsi="Arial"/>
          <w:color w:val="211D1E"/>
          <w:sz w:val="20"/>
        </w:rPr>
        <w:t>Infekcije hepatitisom C imaju značajan udio u zdravstvenim troškovima povezanima s drogom u Europi</w:t>
      </w:r>
      <w:r>
        <w:rPr>
          <w:rFonts w:ascii="Arial" w:hAnsi="Arial"/>
          <w:sz w:val="20"/>
        </w:rPr>
        <w:t>)</w:t>
      </w:r>
      <w:r w:rsidRPr="00777E92">
        <w:rPr>
          <w:rFonts w:ascii="Arial" w:hAnsi="Arial" w:cs="Arial"/>
          <w:sz w:val="20"/>
          <w:szCs w:val="20"/>
        </w:rPr>
        <w:t>(</w:t>
      </w:r>
      <w:r>
        <w:rPr>
          <w:rStyle w:val="newsNotesNumberChar"/>
          <w:rFonts w:cs="Arial"/>
          <w:sz w:val="20"/>
          <w:szCs w:val="20"/>
        </w:rPr>
        <w:t>4</w:t>
      </w:r>
      <w:r w:rsidRPr="00777E92">
        <w:rPr>
          <w:rFonts w:ascii="Arial" w:hAnsi="Arial" w:cs="Arial"/>
          <w:sz w:val="20"/>
          <w:szCs w:val="20"/>
        </w:rPr>
        <w:t>)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color w:val="211D1E"/>
          <w:sz w:val="20"/>
        </w:rPr>
        <w:t xml:space="preserve">U izdanju se navodi: „Trenutačno postoji mogućnost pojave novih načina liječenja te se iskorjenjivanje ove bolesti sada čini realnom mogućnosti.“ </w:t>
      </w:r>
      <w:r>
        <w:rPr>
          <w:rFonts w:ascii="Arial" w:hAnsi="Arial"/>
          <w:sz w:val="20"/>
        </w:rPr>
        <w:t>O</w:t>
      </w:r>
      <w:r>
        <w:rPr>
          <w:rFonts w:ascii="Arial" w:hAnsi="Arial"/>
          <w:color w:val="211D1E"/>
          <w:sz w:val="20"/>
        </w:rPr>
        <w:t xml:space="preserve">vdje se naglašavaju prednosti bolje koordinacije službi za drogu i specijalističkih službi za bolesti jetre kako bi se zajamčilo odgovarajuće liječenje i zaštita osoba kod kojih postoji rizik od buduće ponovne infekcije (Spotlight, str. 62., </w:t>
      </w:r>
      <w:r>
        <w:rPr>
          <w:rFonts w:ascii="Arial" w:hAnsi="Arial"/>
          <w:sz w:val="20"/>
        </w:rPr>
        <w:t xml:space="preserve">slika 2.5). </w:t>
      </w:r>
      <w:r>
        <w:rPr>
          <w:rFonts w:ascii="Arial" w:hAnsi="Arial"/>
          <w:color w:val="211D1E"/>
          <w:sz w:val="20"/>
        </w:rPr>
        <w:t xml:space="preserve">„Bez djelotvornih mjera očekuje se da će budući troškovi povezani s infekcijom hepatitisom C eksponencijalno rasti“, zaključuje se u vodiču. </w:t>
      </w:r>
    </w:p>
    <w:p w:rsidR="00777E92" w:rsidRDefault="00777E92" w:rsidP="00777E92">
      <w:pPr>
        <w:pStyle w:val="Pa21"/>
        <w:spacing w:before="40" w:after="260" w:line="260" w:lineRule="exact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/>
          <w:color w:val="211D1E"/>
          <w:sz w:val="20"/>
        </w:rPr>
        <w:t xml:space="preserve">Čimbenici rizika povezani sa smrtonosnim predoziranjem nisu dobro poznati, no došlo je do značajnog napredovanja u mjerama za spašavanje života, na primjer davanje lijeka nalokson za liječenje </w:t>
      </w:r>
      <w:r>
        <w:rPr>
          <w:rFonts w:ascii="Arial" w:hAnsi="Arial"/>
          <w:color w:val="211D1E"/>
          <w:sz w:val="20"/>
        </w:rPr>
        <w:lastRenderedPageBreak/>
        <w:t xml:space="preserve">predoziranja opioidom. Međutim, sve veći broj smrti od predoziranja u Europi ukazuje na potrebu za proširenjem ovih i drugih mjera koje smanjuju rizik od smrti povezanih s opioidima (slike 2.3 i 2.4). </w:t>
      </w:r>
    </w:p>
    <w:p w:rsidR="00777E92" w:rsidRPr="00E30694" w:rsidRDefault="00777E92" w:rsidP="00777E92">
      <w:pPr>
        <w:rPr>
          <w:rFonts w:ascii="Arial" w:hAnsi="Arial" w:cs="Arial"/>
          <w:b/>
          <w:color w:val="211D1E"/>
          <w:sz w:val="20"/>
          <w:szCs w:val="20"/>
        </w:rPr>
      </w:pPr>
      <w:r>
        <w:rPr>
          <w:rFonts w:ascii="Arial" w:hAnsi="Arial"/>
          <w:b/>
          <w:color w:val="211D1E"/>
          <w:sz w:val="20"/>
        </w:rPr>
        <w:t>Nove perspektive politike i moderni problemi s drogama zahtijevaju prilagodljive reakcije</w:t>
      </w:r>
    </w:p>
    <w:p w:rsidR="00777E92" w:rsidRDefault="00777E92" w:rsidP="00777E92">
      <w:pPr>
        <w:pStyle w:val="Pa21"/>
        <w:spacing w:before="40" w:after="260" w:line="260" w:lineRule="exact"/>
        <w:rPr>
          <w:rFonts w:ascii="Arial" w:hAnsi="Arial"/>
          <w:color w:val="211D1E"/>
          <w:sz w:val="20"/>
        </w:rPr>
      </w:pPr>
      <w:r>
        <w:rPr>
          <w:rFonts w:ascii="Arial" w:hAnsi="Arial"/>
          <w:color w:val="211D1E"/>
          <w:sz w:val="20"/>
        </w:rPr>
        <w:t xml:space="preserve">Nove perspektive politika i problemi s drogama koji se stalno mijenjaju predstavljaju nove izazove za odgovore na drogu u Europi. Kako je navedeno, potrebna je prilagodljivost: „…moderni problemi s drogom mogu se brzo promijeniti te nadvladati postojeće politike o drogama i modele odgovora“. </w:t>
      </w:r>
      <w:r>
        <w:rPr>
          <w:rFonts w:ascii="Arial" w:hAnsi="Arial"/>
          <w:color w:val="211D1E"/>
          <w:sz w:val="20"/>
        </w:rPr>
        <w:br/>
        <w:t xml:space="preserve">Nedavni izazovi uključuju brzu pojavu novih psihoaktivnih tvari, kao što su vrlo jaki opioidi (npr. fentanili, Spotlight, str. 52.) i sintetički kanabinoidi (Spotlight, str. 81.). Budući da će na tržište drogama dolaziti nove tvari, potrebno je poboljšati toksikološke i forenzičke kapacitete u okviru izravne reakcije. </w:t>
      </w:r>
    </w:p>
    <w:p w:rsidR="00777E92" w:rsidRDefault="00777E92" w:rsidP="00777E92">
      <w:pPr>
        <w:spacing w:after="260" w:line="260" w:lineRule="exact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/>
          <w:color w:val="211D1E"/>
          <w:sz w:val="20"/>
        </w:rPr>
        <w:t>Uzimajući u obzir suvremenu pozadinu sociodemografskih i gospodarskih promjena, u vodiču se istražuje moguća podložnost migranata i tražitelja azila na probleme s drogom i potreba da službe prepoznaju raznolikost i izgrade povjerenje (tablica 3.1, slika 3.3). Nedavne promjene regulatornog okvira za kanabis do kojih u novije vrijeme dolazi u Sjevernoj i Južnoj Americi također su potaknule interes donositelja politika i javnosti u Europi (Spotlight, str. 40.)</w:t>
      </w:r>
      <w:r w:rsidRPr="00777E92">
        <w:rPr>
          <w:rFonts w:ascii="Arial" w:hAnsi="Arial" w:cs="Arial"/>
          <w:sz w:val="20"/>
          <w:szCs w:val="20"/>
        </w:rPr>
        <w:t>(</w:t>
      </w:r>
      <w:r>
        <w:rPr>
          <w:rStyle w:val="newsNotesNumberChar"/>
          <w:rFonts w:cs="Arial"/>
          <w:sz w:val="20"/>
          <w:szCs w:val="20"/>
        </w:rPr>
        <w:t>5</w:t>
      </w:r>
      <w:r w:rsidRPr="00777E92">
        <w:rPr>
          <w:rFonts w:ascii="Arial" w:hAnsi="Arial" w:cs="Arial"/>
          <w:sz w:val="20"/>
          <w:szCs w:val="20"/>
        </w:rPr>
        <w:t>)</w:t>
      </w:r>
      <w:r>
        <w:rPr>
          <w:rFonts w:ascii="Arial" w:hAnsi="Arial"/>
          <w:color w:val="211D1E"/>
          <w:sz w:val="20"/>
        </w:rPr>
        <w:t>. U obje regije postoji sve veći interes za istraživanje terapijskog potencijala lijekova na bazi kanabisa. Razvoji u području politika u vezi s kanabisom mogu imati sekundarni učinak na prevenciju, liječenje i reakcije za smanjenje štete u pogledu te droge. Iz inovacija izvan Europe mogu se naučiti vrijedne lekcije.</w:t>
      </w:r>
    </w:p>
    <w:p w:rsidR="00777E92" w:rsidRDefault="00777E92" w:rsidP="00777E92">
      <w:pPr>
        <w:pStyle w:val="newsContent"/>
        <w:rPr>
          <w:szCs w:val="20"/>
        </w:rPr>
      </w:pPr>
      <w:r>
        <w:t xml:space="preserve">Cilj </w:t>
      </w:r>
      <w:r>
        <w:rPr>
          <w:b/>
        </w:rPr>
        <w:t>strategije EU-a protiv droge za 2013. – 20.</w:t>
      </w:r>
      <w:r>
        <w:t xml:space="preserve"> jest smanjiti potražnju droge, ovisnost o drogi, zdravstvene i društvene štete povezane s drogom te smanjiti opskrbu drogom. U vodiču se podržava strategija u području smanjenja potražnje za drogom, kao i zdravstvenih i društvenih posljedica uporabe droge. </w:t>
      </w:r>
    </w:p>
    <w:p w:rsidR="00777E92" w:rsidRDefault="00777E92" w:rsidP="00777E92">
      <w:pPr>
        <w:pStyle w:val="Default"/>
        <w:spacing w:after="260" w:line="260" w:lineRule="exact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/>
          <w:b/>
          <w:color w:val="211D1E"/>
          <w:sz w:val="20"/>
        </w:rPr>
        <w:t>Alexis Goosdeel</w:t>
      </w:r>
      <w:r>
        <w:rPr>
          <w:rFonts w:ascii="Arial" w:hAnsi="Arial"/>
          <w:color w:val="211D1E"/>
          <w:sz w:val="20"/>
        </w:rPr>
        <w:t xml:space="preserve"> zaključuje: „Smatramo da EMCDDA najviše može pridonijeti zdravlju i sigurnosti europskih građana tako da analizira probleme s drogom s kojima se suočavamo te pruži kritički pregled mogućih odgovora te praktičnih alata za podržavanje političkih odluka i praksi. Ovaj je vodič naš prvi i najambiciozniji pokušaj prikupljanja dostupnih informacija o zdravstvenim i društvenim odgovorima u Europi u jedan resurs kojem se jednostavno pristupa. Naglašavajući nedostatke u znanju i praksi te prilike za poboljšanje i razvoj, pruža temelj za unaprijeđeni radni program za naredne godine u ovom području. </w:t>
      </w:r>
    </w:p>
    <w:p w:rsidR="00777E92" w:rsidRPr="00777E92" w:rsidRDefault="00777E92" w:rsidP="00777E92">
      <w:pPr>
        <w:pStyle w:val="newsContent"/>
        <w:rPr>
          <w:rFonts w:cs="Arial"/>
          <w:b/>
          <w:sz w:val="17"/>
          <w:szCs w:val="17"/>
        </w:rPr>
      </w:pPr>
      <w:r w:rsidRPr="00777E92">
        <w:rPr>
          <w:b/>
          <w:sz w:val="17"/>
          <w:szCs w:val="17"/>
        </w:rPr>
        <w:t xml:space="preserve">Napomene </w:t>
      </w:r>
    </w:p>
    <w:p w:rsidR="00777E92" w:rsidRPr="00777E92" w:rsidRDefault="00777E92" w:rsidP="00777E92">
      <w:pPr>
        <w:pStyle w:val="Tekstkrajnjebiljeke"/>
        <w:rPr>
          <w:rFonts w:ascii="Arial" w:hAnsi="Arial" w:cs="Arial"/>
          <w:sz w:val="17"/>
          <w:szCs w:val="17"/>
        </w:rPr>
      </w:pPr>
      <w:r w:rsidRPr="00777E92">
        <w:rPr>
          <w:rFonts w:ascii="Arial" w:hAnsi="Arial" w:cs="Arial"/>
          <w:sz w:val="17"/>
          <w:szCs w:val="17"/>
        </w:rPr>
        <w:t>(</w:t>
      </w:r>
      <w:r w:rsidRPr="00777E92">
        <w:rPr>
          <w:rStyle w:val="newsNotesNumberChar"/>
          <w:rFonts w:cs="Arial"/>
          <w:szCs w:val="17"/>
        </w:rPr>
        <w:t>1</w:t>
      </w:r>
      <w:r w:rsidRPr="00777E92">
        <w:rPr>
          <w:rFonts w:ascii="Arial" w:hAnsi="Arial" w:cs="Arial"/>
          <w:sz w:val="17"/>
          <w:szCs w:val="17"/>
        </w:rPr>
        <w:t>)</w:t>
      </w:r>
      <w:r w:rsidRPr="00777E92">
        <w:rPr>
          <w:rFonts w:ascii="Arial" w:hAnsi="Arial" w:cs="Arial"/>
          <w:color w:val="211D1E"/>
          <w:sz w:val="17"/>
          <w:szCs w:val="17"/>
        </w:rPr>
        <w:t xml:space="preserve"> Dostupno na engleskom jeziku na </w:t>
      </w:r>
      <w:hyperlink r:id="rId11" w:history="1">
        <w:r w:rsidRPr="00777E92">
          <w:rPr>
            <w:rStyle w:val="Hiperveza"/>
            <w:rFonts w:cs="Arial"/>
            <w:szCs w:val="17"/>
          </w:rPr>
          <w:t>www.emcdda.europa.eu/responses-guide</w:t>
        </w:r>
      </w:hyperlink>
      <w:r w:rsidRPr="00777E92">
        <w:rPr>
          <w:rFonts w:ascii="Arial" w:hAnsi="Arial" w:cs="Arial"/>
          <w:color w:val="211D1E"/>
          <w:sz w:val="17"/>
          <w:szCs w:val="17"/>
        </w:rPr>
        <w:t xml:space="preserve">. Vodič se objavljuje svake tri godine (internetski resursi redovito će se ažurirati) te nadopunjuje godišnje </w:t>
      </w:r>
      <w:r w:rsidRPr="00777E92">
        <w:rPr>
          <w:rFonts w:ascii="Arial" w:hAnsi="Arial" w:cs="Arial"/>
          <w:i/>
          <w:color w:val="211D1E"/>
          <w:sz w:val="17"/>
          <w:szCs w:val="17"/>
        </w:rPr>
        <w:t xml:space="preserve">Europsko izvješće o drogi </w:t>
      </w:r>
      <w:r w:rsidRPr="00777E92">
        <w:rPr>
          <w:rFonts w:ascii="Arial" w:hAnsi="Arial" w:cs="Arial"/>
          <w:color w:val="211D1E"/>
          <w:sz w:val="17"/>
          <w:szCs w:val="17"/>
        </w:rPr>
        <w:t xml:space="preserve">i trogodišnje </w:t>
      </w:r>
      <w:r w:rsidRPr="00777E92">
        <w:rPr>
          <w:rFonts w:ascii="Arial" w:hAnsi="Arial" w:cs="Arial"/>
          <w:i/>
          <w:color w:val="211D1E"/>
          <w:sz w:val="17"/>
          <w:szCs w:val="17"/>
        </w:rPr>
        <w:t>Izvješće o tržištima droga u EU-u</w:t>
      </w:r>
      <w:r w:rsidRPr="00777E92">
        <w:rPr>
          <w:rFonts w:ascii="Arial" w:hAnsi="Arial" w:cs="Arial"/>
          <w:color w:val="211D1E"/>
          <w:sz w:val="17"/>
          <w:szCs w:val="17"/>
        </w:rPr>
        <w:t>. Zajednički cilj tih triju izvješća jest pružiti sveobuhvatnu sliku europskog stanja i pomoći donositeljima politika i stručnjacima da razviju politike i mjere koje će doprinijeti zdravijoj i sigurnijoj Europi.</w:t>
      </w:r>
    </w:p>
    <w:p w:rsidR="00777E92" w:rsidRPr="00777E92" w:rsidRDefault="00777E92" w:rsidP="00777E92">
      <w:pPr>
        <w:pStyle w:val="Tekstkrajnjebiljeke"/>
        <w:rPr>
          <w:rFonts w:ascii="Arial" w:hAnsi="Arial" w:cs="Arial"/>
          <w:sz w:val="17"/>
          <w:szCs w:val="17"/>
        </w:rPr>
      </w:pPr>
      <w:r w:rsidRPr="00777E92">
        <w:rPr>
          <w:rFonts w:ascii="Arial" w:hAnsi="Arial" w:cs="Arial"/>
          <w:sz w:val="17"/>
          <w:szCs w:val="17"/>
        </w:rPr>
        <w:t>(</w:t>
      </w:r>
      <w:r w:rsidRPr="00777E92">
        <w:rPr>
          <w:rStyle w:val="newsNotesNumberChar"/>
          <w:rFonts w:cs="Arial"/>
          <w:szCs w:val="17"/>
        </w:rPr>
        <w:t>2</w:t>
      </w:r>
      <w:r w:rsidRPr="00777E92">
        <w:rPr>
          <w:rFonts w:ascii="Arial" w:hAnsi="Arial" w:cs="Arial"/>
          <w:sz w:val="17"/>
          <w:szCs w:val="17"/>
        </w:rPr>
        <w:t xml:space="preserve">) </w:t>
      </w:r>
      <w:hyperlink r:id="rId12" w:history="1">
        <w:r w:rsidRPr="00777E92">
          <w:rPr>
            <w:rStyle w:val="Hiperveza"/>
            <w:rFonts w:cs="Arial"/>
            <w:szCs w:val="17"/>
          </w:rPr>
          <w:t>www.emcdda.europa.eu/best-practice_en</w:t>
        </w:r>
      </w:hyperlink>
      <w:r w:rsidRPr="00777E92">
        <w:rPr>
          <w:rFonts w:ascii="Arial" w:hAnsi="Arial" w:cs="Arial"/>
          <w:vanish/>
          <w:sz w:val="17"/>
          <w:szCs w:val="17"/>
        </w:rPr>
        <w:t xml:space="preserve"> </w:t>
      </w:r>
      <w:hyperlink r:id="rId13" w:history="1">
        <w:r w:rsidRPr="00777E92">
          <w:rPr>
            <w:rStyle w:val="Hiperveza"/>
            <w:rFonts w:cs="Arial"/>
            <w:vanish/>
            <w:szCs w:val="17"/>
          </w:rPr>
          <w:t>www.emcdda.europa.eu/best-practice_en</w:t>
        </w:r>
      </w:hyperlink>
    </w:p>
    <w:p w:rsidR="00777E92" w:rsidRPr="00777E92" w:rsidRDefault="00777E92" w:rsidP="00777E92">
      <w:pPr>
        <w:pStyle w:val="newsContent"/>
        <w:spacing w:after="0" w:line="240" w:lineRule="auto"/>
        <w:rPr>
          <w:rFonts w:cs="Arial"/>
          <w:sz w:val="17"/>
          <w:szCs w:val="17"/>
        </w:rPr>
      </w:pPr>
      <w:r w:rsidRPr="00777E92">
        <w:rPr>
          <w:rFonts w:cs="Arial"/>
          <w:sz w:val="17"/>
          <w:szCs w:val="17"/>
        </w:rPr>
        <w:t>(</w:t>
      </w:r>
      <w:r w:rsidRPr="00777E92">
        <w:rPr>
          <w:rStyle w:val="newsNotesNumberChar"/>
          <w:rFonts w:cs="Arial"/>
          <w:szCs w:val="17"/>
        </w:rPr>
        <w:t>3</w:t>
      </w:r>
      <w:r w:rsidRPr="00777E92">
        <w:rPr>
          <w:rFonts w:cs="Arial"/>
          <w:sz w:val="17"/>
          <w:szCs w:val="17"/>
        </w:rPr>
        <w:t xml:space="preserve">) Inicijativa Alat za zdravi noćni život </w:t>
      </w:r>
      <w:r w:rsidRPr="00777E92">
        <w:rPr>
          <w:rFonts w:cs="Arial"/>
          <w:color w:val="211D1E"/>
          <w:sz w:val="17"/>
          <w:szCs w:val="17"/>
        </w:rPr>
        <w:t>(</w:t>
      </w:r>
      <w:hyperlink r:id="rId14" w:history="1">
        <w:r w:rsidRPr="00777E92">
          <w:rPr>
            <w:rStyle w:val="Hiperveza"/>
            <w:rFonts w:cs="Arial"/>
            <w:szCs w:val="17"/>
          </w:rPr>
          <w:t>www.hntinfo.eu</w:t>
        </w:r>
      </w:hyperlink>
      <w:r w:rsidRPr="00777E92">
        <w:rPr>
          <w:rFonts w:cs="Arial"/>
          <w:color w:val="211D1E"/>
          <w:sz w:val="17"/>
          <w:szCs w:val="17"/>
        </w:rPr>
        <w:t xml:space="preserve"> — </w:t>
      </w:r>
      <w:hyperlink r:id="rId15" w:history="1">
        <w:r w:rsidRPr="00777E92">
          <w:rPr>
            <w:rStyle w:val="Hiperveza"/>
            <w:rFonts w:cs="Arial"/>
            <w:szCs w:val="17"/>
          </w:rPr>
          <w:t>www.emcdda.europa.eu/news/fs1/2017/emcdda-hosts-healthy-nightlife-toolbox_en</w:t>
        </w:r>
      </w:hyperlink>
      <w:r w:rsidRPr="00777E92">
        <w:rPr>
          <w:rFonts w:cs="Arial"/>
          <w:color w:val="211D1E"/>
          <w:sz w:val="17"/>
          <w:szCs w:val="17"/>
        </w:rPr>
        <w:t xml:space="preserve">) </w:t>
      </w:r>
      <w:r w:rsidRPr="00777E92">
        <w:rPr>
          <w:rFonts w:cs="Arial"/>
          <w:sz w:val="17"/>
          <w:szCs w:val="17"/>
        </w:rPr>
        <w:t>prikuplja i pruža informacije o intervencijama iz dobre prakse koje ciljaju na zloporabu droge i alkohola, kao i povezane probleme mladih ljudi u objektima za noćnu zabavu</w:t>
      </w:r>
      <w:r w:rsidRPr="00777E92">
        <w:rPr>
          <w:rFonts w:cs="Arial"/>
          <w:color w:val="211D1E"/>
          <w:sz w:val="17"/>
          <w:szCs w:val="17"/>
        </w:rPr>
        <w:t xml:space="preserve">. </w:t>
      </w:r>
      <w:r w:rsidRPr="00777E92">
        <w:rPr>
          <w:rFonts w:cs="Arial"/>
          <w:sz w:val="17"/>
          <w:szCs w:val="17"/>
        </w:rPr>
        <w:t>Europske mreže koje su razvile standarde najbolje prakse za osobe koje rade u tom području uključuju: projekt Zdravlje u klubu (</w:t>
      </w:r>
      <w:proofErr w:type="spellStart"/>
      <w:r w:rsidRPr="00777E92">
        <w:rPr>
          <w:rFonts w:cs="Arial"/>
          <w:sz w:val="17"/>
          <w:szCs w:val="17"/>
        </w:rPr>
        <w:t>Club</w:t>
      </w:r>
      <w:proofErr w:type="spellEnd"/>
      <w:r w:rsidRPr="00777E92">
        <w:rPr>
          <w:rFonts w:cs="Arial"/>
          <w:sz w:val="17"/>
          <w:szCs w:val="17"/>
        </w:rPr>
        <w:t xml:space="preserve"> Health) i Projekt provedbe za dobrobit i poboljšanje noćnoga života (NEWIP).</w:t>
      </w:r>
      <w:r w:rsidRPr="00777E92">
        <w:rPr>
          <w:rFonts w:cs="Arial"/>
          <w:color w:val="211D1E"/>
          <w:sz w:val="17"/>
          <w:szCs w:val="17"/>
        </w:rPr>
        <w:t xml:space="preserve"> </w:t>
      </w:r>
      <w:r w:rsidRPr="00777E92">
        <w:rPr>
          <w:rFonts w:cs="Arial"/>
          <w:sz w:val="17"/>
          <w:szCs w:val="17"/>
        </w:rPr>
        <w:t>U vodiču se navodi sve veći interes za način na koji službe za testiranje na droge mogu pridonijeti smanjenju štete u objektima za noćnu zabavu (Spotlight, str. 139.).</w:t>
      </w:r>
    </w:p>
    <w:p w:rsidR="00777E92" w:rsidRPr="00777E92" w:rsidRDefault="00777E92" w:rsidP="00777E92">
      <w:pPr>
        <w:pStyle w:val="Tekstkrajnjebiljeke"/>
        <w:rPr>
          <w:rFonts w:ascii="Arial" w:hAnsi="Arial" w:cs="Arial"/>
          <w:color w:val="211D1E"/>
          <w:sz w:val="17"/>
          <w:szCs w:val="17"/>
        </w:rPr>
      </w:pPr>
      <w:r w:rsidRPr="00777E92">
        <w:rPr>
          <w:rFonts w:ascii="Arial" w:hAnsi="Arial" w:cs="Arial"/>
          <w:sz w:val="17"/>
          <w:szCs w:val="17"/>
        </w:rPr>
        <w:t>(</w:t>
      </w:r>
      <w:r w:rsidRPr="00777E92">
        <w:rPr>
          <w:rStyle w:val="newsNotesNumberChar"/>
          <w:rFonts w:cs="Arial"/>
          <w:szCs w:val="17"/>
        </w:rPr>
        <w:t>4</w:t>
      </w:r>
      <w:r w:rsidRPr="00777E92">
        <w:rPr>
          <w:rFonts w:ascii="Arial" w:hAnsi="Arial" w:cs="Arial"/>
          <w:sz w:val="17"/>
          <w:szCs w:val="17"/>
        </w:rPr>
        <w:t xml:space="preserve">) </w:t>
      </w:r>
      <w:r w:rsidRPr="00777E92">
        <w:rPr>
          <w:rFonts w:ascii="Arial" w:hAnsi="Arial" w:cs="Arial"/>
          <w:color w:val="211D1E"/>
          <w:sz w:val="17"/>
          <w:szCs w:val="17"/>
        </w:rPr>
        <w:t xml:space="preserve">Više informacija potražite na </w:t>
      </w:r>
      <w:hyperlink r:id="rId16" w:history="1">
        <w:r w:rsidRPr="00777E92">
          <w:rPr>
            <w:rStyle w:val="Hiperveza"/>
            <w:rFonts w:cs="Arial"/>
            <w:szCs w:val="17"/>
          </w:rPr>
          <w:t>www.emcdda.europa.eu/publications/insights/hepatitis-c-among-drug-users-in-europe_en</w:t>
        </w:r>
      </w:hyperlink>
      <w:r w:rsidRPr="00777E92">
        <w:rPr>
          <w:rFonts w:ascii="Arial" w:hAnsi="Arial" w:cs="Arial"/>
          <w:color w:val="211D1E"/>
          <w:sz w:val="17"/>
          <w:szCs w:val="17"/>
        </w:rPr>
        <w:t xml:space="preserve"> i </w:t>
      </w:r>
      <w:hyperlink r:id="rId17" w:history="1">
        <w:r w:rsidRPr="00777E92">
          <w:rPr>
            <w:rStyle w:val="Hiperveza"/>
            <w:rFonts w:cs="Arial"/>
            <w:szCs w:val="17"/>
          </w:rPr>
          <w:t>www.emcdda.europa.eu/publications/pods/hepatitis-c-treatment_en</w:t>
        </w:r>
      </w:hyperlink>
    </w:p>
    <w:p w:rsidR="00777E92" w:rsidRPr="00777E92" w:rsidRDefault="00777E92" w:rsidP="00777E92">
      <w:pPr>
        <w:pStyle w:val="Tekstkrajnjebiljeke"/>
        <w:rPr>
          <w:rFonts w:ascii="Arial" w:hAnsi="Arial" w:cs="Arial"/>
          <w:sz w:val="17"/>
          <w:szCs w:val="17"/>
        </w:rPr>
      </w:pPr>
      <w:r w:rsidRPr="00777E92">
        <w:rPr>
          <w:rFonts w:ascii="Arial" w:hAnsi="Arial" w:cs="Arial"/>
          <w:color w:val="211D1E"/>
          <w:sz w:val="17"/>
          <w:szCs w:val="17"/>
        </w:rPr>
        <w:t xml:space="preserve">Dodatne mjere za sprječavanje i smanjenje zlouporabe droga i štete povezane s drogom nalaze se među prioritetima navedenima u strategiji EMCDDA-e za 2025. </w:t>
      </w:r>
      <w:hyperlink r:id="rId18" w:history="1">
        <w:r w:rsidRPr="00777E92">
          <w:rPr>
            <w:rStyle w:val="Hiperveza"/>
            <w:rFonts w:cs="Arial"/>
            <w:szCs w:val="17"/>
          </w:rPr>
          <w:t>www.emcdda.europa.eu/publications/work-programmes-and-strategies/strategy-2025_en</w:t>
        </w:r>
      </w:hyperlink>
    </w:p>
    <w:p w:rsidR="00777E92" w:rsidRPr="00777E92" w:rsidRDefault="00777E92" w:rsidP="00777E92">
      <w:pPr>
        <w:pStyle w:val="Tekstkrajnjebiljeke"/>
        <w:rPr>
          <w:rFonts w:ascii="Arial" w:hAnsi="Arial" w:cs="Arial"/>
          <w:sz w:val="17"/>
          <w:szCs w:val="17"/>
          <w:lang w:val="pl-PL"/>
        </w:rPr>
      </w:pPr>
      <w:r w:rsidRPr="00777E92">
        <w:rPr>
          <w:rFonts w:ascii="Arial" w:hAnsi="Arial" w:cs="Arial"/>
          <w:sz w:val="17"/>
          <w:szCs w:val="17"/>
        </w:rPr>
        <w:t>(</w:t>
      </w:r>
      <w:r w:rsidRPr="00777E92">
        <w:rPr>
          <w:rStyle w:val="newsNotesNumberChar"/>
          <w:rFonts w:cs="Arial"/>
          <w:szCs w:val="17"/>
        </w:rPr>
        <w:t>5</w:t>
      </w:r>
      <w:r w:rsidRPr="00777E92">
        <w:rPr>
          <w:rFonts w:ascii="Arial" w:hAnsi="Arial" w:cs="Arial"/>
          <w:sz w:val="17"/>
          <w:szCs w:val="17"/>
        </w:rPr>
        <w:t>)</w:t>
      </w:r>
      <w:r w:rsidRPr="00777E92">
        <w:rPr>
          <w:rFonts w:ascii="Arial" w:hAnsi="Arial" w:cs="Arial"/>
          <w:color w:val="211D1E"/>
          <w:sz w:val="17"/>
          <w:szCs w:val="17"/>
        </w:rPr>
        <w:t xml:space="preserve"> Više informacija potražite na </w:t>
      </w:r>
      <w:hyperlink r:id="rId19" w:history="1">
        <w:r w:rsidRPr="00777E92">
          <w:rPr>
            <w:rStyle w:val="Hiperveza"/>
            <w:rFonts w:cs="Arial"/>
            <w:szCs w:val="17"/>
          </w:rPr>
          <w:t>www.emcdda.europa.eu/topics/cannabis-policy_en</w:t>
        </w:r>
      </w:hyperlink>
      <w:r w:rsidRPr="00777E92">
        <w:rPr>
          <w:rFonts w:ascii="Arial" w:hAnsi="Arial" w:cs="Arial"/>
          <w:color w:val="211D1E"/>
          <w:sz w:val="17"/>
          <w:szCs w:val="17"/>
        </w:rPr>
        <w:t xml:space="preserve"> i </w:t>
      </w:r>
      <w:hyperlink r:id="rId20" w:history="1">
        <w:r w:rsidRPr="00777E92">
          <w:rPr>
            <w:rStyle w:val="Hiperveza"/>
            <w:rFonts w:cs="Arial"/>
            <w:szCs w:val="17"/>
          </w:rPr>
          <w:t>www.emcdda.europa.eu/topics/pods/legal-supply-of-cannabis</w:t>
        </w:r>
      </w:hyperlink>
    </w:p>
    <w:p w:rsidR="00777E92" w:rsidRPr="00777E92" w:rsidRDefault="00777E92" w:rsidP="00777E92">
      <w:pPr>
        <w:pStyle w:val="newsContent"/>
        <w:rPr>
          <w:rFonts w:cs="Arial"/>
          <w:color w:val="211D1E"/>
          <w:sz w:val="15"/>
          <w:szCs w:val="15"/>
          <w:lang w:val="pl-PL"/>
        </w:rPr>
      </w:pPr>
    </w:p>
    <w:p w:rsidR="006B62E5" w:rsidRPr="00387B43" w:rsidRDefault="006B62E5" w:rsidP="006B62E5">
      <w:pPr>
        <w:pStyle w:val="newsContent"/>
      </w:pPr>
    </w:p>
    <w:sectPr w:rsidR="006B62E5" w:rsidRPr="00387B43" w:rsidSect="00777E92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20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A" w:rsidRDefault="00BC7CAA" w:rsidP="009A28FB">
      <w:pPr>
        <w:spacing w:after="0" w:line="240" w:lineRule="auto"/>
      </w:pPr>
      <w:r>
        <w:separator/>
      </w:r>
    </w:p>
  </w:endnote>
  <w:endnote w:type="continuationSeparator" w:id="0">
    <w:p w:rsidR="00BC7CAA" w:rsidRDefault="00BC7CAA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ivia Sans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632193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D110CFE" wp14:editId="522C431D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632193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2AD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351881" w:rsidP="003B00EE">
          <w:pPr>
            <w:pStyle w:val="newsCoordinates"/>
          </w:pPr>
          <w:r w:rsidRPr="00351881">
            <w:t xml:space="preserve">Kontakt: </w:t>
          </w:r>
          <w:proofErr w:type="spellStart"/>
          <w:r w:rsidRPr="00351881">
            <w:t>Kathy</w:t>
          </w:r>
          <w:proofErr w:type="spellEnd"/>
          <w:r w:rsidRPr="00351881">
            <w:t xml:space="preserve"> </w:t>
          </w:r>
          <w:proofErr w:type="spellStart"/>
          <w:r w:rsidRPr="00351881">
            <w:t>Robertson</w:t>
          </w:r>
          <w:proofErr w:type="spellEnd"/>
          <w:r w:rsidRPr="00351881">
            <w:t>, Odnosi s medijima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7179D62" wp14:editId="2FFD770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Default="00351881" w:rsidP="003B00EE">
          <w:pPr>
            <w:pStyle w:val="newsCoordinates"/>
          </w:pPr>
          <w:r w:rsidRPr="00351881">
            <w:t>Praça Europa 1, Cais do Sodré, 1249-289 Lisabon, Portugal</w:t>
          </w:r>
        </w:p>
        <w:p w:rsidR="0063677C" w:rsidRDefault="00351881" w:rsidP="00351881">
          <w:pPr>
            <w:pStyle w:val="newsCoordinates"/>
          </w:pPr>
          <w:r w:rsidRPr="00351881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351881" w:rsidP="00777E92">
          <w:pPr>
            <w:pStyle w:val="newsReference"/>
            <w:jc w:val="right"/>
          </w:pPr>
          <w:r w:rsidRPr="00351881">
            <w:t xml:space="preserve">HR — Br. </w:t>
          </w:r>
          <w:r w:rsidR="00777E92">
            <w:t>13</w:t>
          </w:r>
          <w:r w:rsidRPr="00351881">
            <w:t>/</w:t>
          </w:r>
          <w:r w:rsidR="00777E92">
            <w:t>2017</w:t>
          </w:r>
        </w:p>
      </w:tc>
    </w:tr>
  </w:tbl>
  <w:p w:rsidR="0063677C" w:rsidRDefault="006367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A" w:rsidRDefault="00BC7CAA" w:rsidP="009A28FB">
      <w:pPr>
        <w:spacing w:after="0" w:line="240" w:lineRule="auto"/>
      </w:pPr>
      <w:r>
        <w:separator/>
      </w:r>
    </w:p>
  </w:footnote>
  <w:footnote w:type="continuationSeparator" w:id="0">
    <w:p w:rsidR="00BC7CAA" w:rsidRDefault="00BC7CAA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777E92" w:rsidTr="00BF237D">
      <w:tc>
        <w:tcPr>
          <w:tcW w:w="10490" w:type="dxa"/>
        </w:tcPr>
        <w:p w:rsidR="00777E92" w:rsidRPr="00777E92" w:rsidRDefault="00777E92" w:rsidP="00777E92">
          <w:pPr>
            <w:rPr>
              <w:rFonts w:ascii="Arial" w:hAnsi="Arial" w:cs="Arial"/>
              <w:sz w:val="15"/>
              <w:szCs w:val="15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77A1C96" wp14:editId="42A7737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46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4E2ADF">
            <w:rPr>
              <w:rFonts w:ascii="Arial" w:hAnsi="Arial" w:cs="Arial"/>
              <w:b/>
              <w:caps/>
              <w:color w:val="FF0000"/>
              <w:sz w:val="15"/>
              <w:szCs w:val="15"/>
            </w:rPr>
            <w:t xml:space="preserve"> </w:t>
          </w:r>
          <w:r w:rsidRPr="00777E92">
            <w:rPr>
              <w:rFonts w:ascii="Arial" w:hAnsi="Arial" w:cs="Arial"/>
              <w:sz w:val="15"/>
              <w:szCs w:val="15"/>
            </w:rPr>
            <w:t>24.10.2017</w:t>
          </w:r>
        </w:p>
        <w:p w:rsidR="00777E92" w:rsidRDefault="00777E92" w:rsidP="00777E92">
          <w:pPr>
            <w:pStyle w:val="newsReference"/>
            <w:spacing w:line="240" w:lineRule="auto"/>
            <w:ind w:left="2360"/>
            <w:jc w:val="right"/>
          </w:pPr>
        </w:p>
      </w:tc>
    </w:tr>
  </w:tbl>
  <w:p w:rsidR="00BF1E3B" w:rsidRDefault="00BF1E3B" w:rsidP="00777E9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0CFC"/>
    <w:multiLevelType w:val="hybridMultilevel"/>
    <w:tmpl w:val="9E5A6764"/>
    <w:lvl w:ilvl="0" w:tplc="AFEC6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0C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E1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2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27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8C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7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66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25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7"/>
    <w:rsid w:val="00014E8E"/>
    <w:rsid w:val="00036DAA"/>
    <w:rsid w:val="000535B7"/>
    <w:rsid w:val="00067DD3"/>
    <w:rsid w:val="00075735"/>
    <w:rsid w:val="000C6200"/>
    <w:rsid w:val="000D25B6"/>
    <w:rsid w:val="00105BFC"/>
    <w:rsid w:val="00107C96"/>
    <w:rsid w:val="0017713E"/>
    <w:rsid w:val="001800D0"/>
    <w:rsid w:val="001A3338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83C08"/>
    <w:rsid w:val="002948E2"/>
    <w:rsid w:val="002A61F7"/>
    <w:rsid w:val="002B05CE"/>
    <w:rsid w:val="002B45AC"/>
    <w:rsid w:val="002B7BAB"/>
    <w:rsid w:val="0030486D"/>
    <w:rsid w:val="00317B5A"/>
    <w:rsid w:val="0033158E"/>
    <w:rsid w:val="00351881"/>
    <w:rsid w:val="0036121D"/>
    <w:rsid w:val="00387B43"/>
    <w:rsid w:val="00387D02"/>
    <w:rsid w:val="003B41B1"/>
    <w:rsid w:val="003C0395"/>
    <w:rsid w:val="004137B0"/>
    <w:rsid w:val="004221D3"/>
    <w:rsid w:val="0044111C"/>
    <w:rsid w:val="00445080"/>
    <w:rsid w:val="00451D26"/>
    <w:rsid w:val="0045468D"/>
    <w:rsid w:val="00474AC8"/>
    <w:rsid w:val="004847FB"/>
    <w:rsid w:val="004A7C87"/>
    <w:rsid w:val="004C3028"/>
    <w:rsid w:val="004D6E0C"/>
    <w:rsid w:val="004E2ADF"/>
    <w:rsid w:val="00520EF1"/>
    <w:rsid w:val="00542CEE"/>
    <w:rsid w:val="005A0DC8"/>
    <w:rsid w:val="005B05A0"/>
    <w:rsid w:val="005B0882"/>
    <w:rsid w:val="005B1B63"/>
    <w:rsid w:val="005C4033"/>
    <w:rsid w:val="005E734D"/>
    <w:rsid w:val="006116D9"/>
    <w:rsid w:val="00623A55"/>
    <w:rsid w:val="00632193"/>
    <w:rsid w:val="0063677C"/>
    <w:rsid w:val="00666A63"/>
    <w:rsid w:val="0069096E"/>
    <w:rsid w:val="006B62E5"/>
    <w:rsid w:val="007003A8"/>
    <w:rsid w:val="00730132"/>
    <w:rsid w:val="00734D98"/>
    <w:rsid w:val="00773814"/>
    <w:rsid w:val="00777E92"/>
    <w:rsid w:val="00791F09"/>
    <w:rsid w:val="007920E3"/>
    <w:rsid w:val="007927D2"/>
    <w:rsid w:val="007B0E03"/>
    <w:rsid w:val="007B1CCD"/>
    <w:rsid w:val="00813FB5"/>
    <w:rsid w:val="0081623D"/>
    <w:rsid w:val="00837F8F"/>
    <w:rsid w:val="00841E86"/>
    <w:rsid w:val="00860C28"/>
    <w:rsid w:val="00881730"/>
    <w:rsid w:val="008C1172"/>
    <w:rsid w:val="008D54B3"/>
    <w:rsid w:val="008F177B"/>
    <w:rsid w:val="008F399E"/>
    <w:rsid w:val="00902300"/>
    <w:rsid w:val="00930F8E"/>
    <w:rsid w:val="00944227"/>
    <w:rsid w:val="00955F0C"/>
    <w:rsid w:val="00974A27"/>
    <w:rsid w:val="009A28FB"/>
    <w:rsid w:val="009D0966"/>
    <w:rsid w:val="009D396C"/>
    <w:rsid w:val="009D6255"/>
    <w:rsid w:val="00A0788A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C5CE8"/>
    <w:rsid w:val="00BC7CAA"/>
    <w:rsid w:val="00BF1E3B"/>
    <w:rsid w:val="00C36BC1"/>
    <w:rsid w:val="00C426F8"/>
    <w:rsid w:val="00C628C4"/>
    <w:rsid w:val="00C63254"/>
    <w:rsid w:val="00C874C0"/>
    <w:rsid w:val="00CA2FF5"/>
    <w:rsid w:val="00CA649C"/>
    <w:rsid w:val="00CB49DA"/>
    <w:rsid w:val="00CB634E"/>
    <w:rsid w:val="00CC4FDA"/>
    <w:rsid w:val="00CC6A8B"/>
    <w:rsid w:val="00D01335"/>
    <w:rsid w:val="00D03EC6"/>
    <w:rsid w:val="00D300B2"/>
    <w:rsid w:val="00D3312B"/>
    <w:rsid w:val="00D37865"/>
    <w:rsid w:val="00D57367"/>
    <w:rsid w:val="00D84AE3"/>
    <w:rsid w:val="00D92A34"/>
    <w:rsid w:val="00DB482B"/>
    <w:rsid w:val="00DC485E"/>
    <w:rsid w:val="00E233F5"/>
    <w:rsid w:val="00E57C9D"/>
    <w:rsid w:val="00E66CCD"/>
    <w:rsid w:val="00E76AD8"/>
    <w:rsid w:val="00E81F3D"/>
    <w:rsid w:val="00E83FC3"/>
    <w:rsid w:val="00E84EB5"/>
    <w:rsid w:val="00EB2645"/>
    <w:rsid w:val="00EB40FB"/>
    <w:rsid w:val="00EE23CC"/>
    <w:rsid w:val="00F06CDE"/>
    <w:rsid w:val="00F1741A"/>
    <w:rsid w:val="00F21CA9"/>
    <w:rsid w:val="00F24096"/>
    <w:rsid w:val="00F249CD"/>
    <w:rsid w:val="00F414EF"/>
    <w:rsid w:val="00F47542"/>
    <w:rsid w:val="00FA0AE0"/>
    <w:rsid w:val="00FB351B"/>
    <w:rsid w:val="00FC0187"/>
    <w:rsid w:val="00FE3721"/>
    <w:rsid w:val="00FE478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351881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721"/>
  </w:style>
  <w:style w:type="paragraph" w:styleId="Podnoje">
    <w:name w:val="footer"/>
    <w:basedOn w:val="Normal"/>
    <w:link w:val="Podnoje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8FB"/>
  </w:style>
  <w:style w:type="character" w:styleId="Hiperveza">
    <w:name w:val="Hyperlink"/>
    <w:basedOn w:val="Zadanifontodlomka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351881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351881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Podnoje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35188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Tekstrezerviranogmjesta">
    <w:name w:val="Placeholder Text"/>
    <w:basedOn w:val="Zadanifontodlomka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Podnoje"/>
    <w:qFormat/>
    <w:rsid w:val="0035188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351881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351881"/>
    <w:pPr>
      <w:spacing w:after="0" w:line="220" w:lineRule="exact"/>
    </w:pPr>
    <w:rPr>
      <w:color w:val="auto"/>
      <w:sz w:val="17"/>
    </w:rPr>
  </w:style>
  <w:style w:type="table" w:styleId="Reetkatablice">
    <w:name w:val="Table Grid"/>
    <w:basedOn w:val="Obinatablica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Zadanifontodlomka"/>
    <w:link w:val="newsContent"/>
    <w:rsid w:val="00351881"/>
    <w:rPr>
      <w:rFonts w:ascii="Arial" w:hAnsi="Arial"/>
      <w:color w:val="000000" w:themeColor="text1"/>
      <w:sz w:val="20"/>
      <w:lang w:val="hr-HR"/>
    </w:rPr>
  </w:style>
  <w:style w:type="character" w:customStyle="1" w:styleId="newsNotesChar">
    <w:name w:val="newsNotes Char"/>
    <w:basedOn w:val="newsContentChar"/>
    <w:link w:val="newsNotes"/>
    <w:rsid w:val="00351881"/>
    <w:rPr>
      <w:rFonts w:ascii="Arial" w:hAnsi="Arial"/>
      <w:color w:val="000000" w:themeColor="text1"/>
      <w:sz w:val="17"/>
      <w:lang w:val="hr-H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77E92"/>
    <w:pPr>
      <w:spacing w:after="0" w:line="240" w:lineRule="auto"/>
    </w:pPr>
    <w:rPr>
      <w:sz w:val="20"/>
      <w:szCs w:val="20"/>
      <w:lang w:eastAsia="hr-HR" w:bidi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77E92"/>
    <w:rPr>
      <w:sz w:val="20"/>
      <w:szCs w:val="20"/>
      <w:lang w:val="hr-HR" w:eastAsia="hr-HR" w:bidi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777E92"/>
    <w:rPr>
      <w:vertAlign w:val="superscript"/>
    </w:rPr>
  </w:style>
  <w:style w:type="paragraph" w:customStyle="1" w:styleId="Pa21">
    <w:name w:val="Pa21"/>
    <w:basedOn w:val="Normal"/>
    <w:next w:val="Normal"/>
    <w:uiPriority w:val="99"/>
    <w:rsid w:val="00777E92"/>
    <w:pPr>
      <w:autoSpaceDE w:val="0"/>
      <w:autoSpaceDN w:val="0"/>
      <w:adjustRightInd w:val="0"/>
      <w:spacing w:after="0" w:line="159" w:lineRule="atLeast"/>
    </w:pPr>
    <w:rPr>
      <w:rFonts w:ascii="Trivia Sans Light" w:hAnsi="Trivia Sans Light"/>
      <w:sz w:val="24"/>
      <w:szCs w:val="24"/>
      <w:lang w:eastAsia="hr-HR" w:bidi="hr-HR"/>
    </w:rPr>
  </w:style>
  <w:style w:type="paragraph" w:customStyle="1" w:styleId="Default">
    <w:name w:val="Default"/>
    <w:rsid w:val="00777E92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351881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721"/>
  </w:style>
  <w:style w:type="paragraph" w:styleId="Podnoje">
    <w:name w:val="footer"/>
    <w:basedOn w:val="Normal"/>
    <w:link w:val="Podnoje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8FB"/>
  </w:style>
  <w:style w:type="character" w:styleId="Hiperveza">
    <w:name w:val="Hyperlink"/>
    <w:basedOn w:val="Zadanifontodlomka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351881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351881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Podnoje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35188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Tekstrezerviranogmjesta">
    <w:name w:val="Placeholder Text"/>
    <w:basedOn w:val="Zadanifontodlomka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Podnoje"/>
    <w:qFormat/>
    <w:rsid w:val="0035188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351881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351881"/>
    <w:pPr>
      <w:spacing w:after="0" w:line="220" w:lineRule="exact"/>
    </w:pPr>
    <w:rPr>
      <w:color w:val="auto"/>
      <w:sz w:val="17"/>
    </w:rPr>
  </w:style>
  <w:style w:type="table" w:styleId="Reetkatablice">
    <w:name w:val="Table Grid"/>
    <w:basedOn w:val="Obinatablica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Zadanifontodlomka"/>
    <w:link w:val="newsContent"/>
    <w:rsid w:val="00351881"/>
    <w:rPr>
      <w:rFonts w:ascii="Arial" w:hAnsi="Arial"/>
      <w:color w:val="000000" w:themeColor="text1"/>
      <w:sz w:val="20"/>
      <w:lang w:val="hr-HR"/>
    </w:rPr>
  </w:style>
  <w:style w:type="character" w:customStyle="1" w:styleId="newsNotesChar">
    <w:name w:val="newsNotes Char"/>
    <w:basedOn w:val="newsContentChar"/>
    <w:link w:val="newsNotes"/>
    <w:rsid w:val="00351881"/>
    <w:rPr>
      <w:rFonts w:ascii="Arial" w:hAnsi="Arial"/>
      <w:color w:val="000000" w:themeColor="text1"/>
      <w:sz w:val="17"/>
      <w:lang w:val="hr-H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77E92"/>
    <w:pPr>
      <w:spacing w:after="0" w:line="240" w:lineRule="auto"/>
    </w:pPr>
    <w:rPr>
      <w:sz w:val="20"/>
      <w:szCs w:val="20"/>
      <w:lang w:eastAsia="hr-HR" w:bidi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77E92"/>
    <w:rPr>
      <w:sz w:val="20"/>
      <w:szCs w:val="20"/>
      <w:lang w:val="hr-HR" w:eastAsia="hr-HR" w:bidi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777E92"/>
    <w:rPr>
      <w:vertAlign w:val="superscript"/>
    </w:rPr>
  </w:style>
  <w:style w:type="paragraph" w:customStyle="1" w:styleId="Pa21">
    <w:name w:val="Pa21"/>
    <w:basedOn w:val="Normal"/>
    <w:next w:val="Normal"/>
    <w:uiPriority w:val="99"/>
    <w:rsid w:val="00777E92"/>
    <w:pPr>
      <w:autoSpaceDE w:val="0"/>
      <w:autoSpaceDN w:val="0"/>
      <w:adjustRightInd w:val="0"/>
      <w:spacing w:after="0" w:line="159" w:lineRule="atLeast"/>
    </w:pPr>
    <w:rPr>
      <w:rFonts w:ascii="Trivia Sans Light" w:hAnsi="Trivia Sans Light"/>
      <w:sz w:val="24"/>
      <w:szCs w:val="24"/>
      <w:lang w:eastAsia="hr-HR" w:bidi="hr-HR"/>
    </w:rPr>
  </w:style>
  <w:style w:type="paragraph" w:customStyle="1" w:styleId="Default">
    <w:name w:val="Default"/>
    <w:rsid w:val="00777E92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best-practice_en" TargetMode="External"/><Relationship Id="rId18" Type="http://schemas.openxmlformats.org/officeDocument/2006/relationships/hyperlink" Target="http://www.emcdda.europa.eu/publications/work-programmes-and-strategies/strategy-2025_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best-practice_en" TargetMode="External"/><Relationship Id="rId17" Type="http://schemas.openxmlformats.org/officeDocument/2006/relationships/hyperlink" Target="http://www.emcdda.europa.eu/publications/pods/hepatitis-c-treatment_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mcdda.europa.eu/publications/insights/hepatitis-c-among-drug-users-in-europe_en" TargetMode="External"/><Relationship Id="rId20" Type="http://schemas.openxmlformats.org/officeDocument/2006/relationships/hyperlink" Target="http://www.emcdda.europa.eu/topics/pods/legal-supply-of-cannab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responses-gui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mcdda.europa.eu/news/fs1/2017/emcdda-hosts-healthy-nightlife-toolbox_en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emcdda.europa.eu/topics/cannabis-policy_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hntinfo.eu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_HR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1C7D-292E-4D76-A93F-C2F09EFE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News-release_HR_2015.dotx</Template>
  <TotalTime>14</TotalTime>
  <Pages>3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HR</vt:lpstr>
    </vt:vector>
  </TitlesOfParts>
  <Manager>EMCDDA</Manager>
  <Company>EMCDDA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HR</dc:title>
  <dc:subject>News release HR</dc:subject>
  <dc:creator>Kathryn Robertson</dc:creator>
  <cp:keywords>News release HR</cp:keywords>
  <cp:lastModifiedBy>Josipa</cp:lastModifiedBy>
  <cp:revision>7</cp:revision>
  <cp:lastPrinted>2014-04-04T12:51:00Z</cp:lastPrinted>
  <dcterms:created xsi:type="dcterms:W3CDTF">2017-10-19T11:04:00Z</dcterms:created>
  <dcterms:modified xsi:type="dcterms:W3CDTF">2017-11-02T15:37:00Z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HR</vt:lpwstr>
  </property>
</Properties>
</file>